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3489"/>
        <w:gridCol w:w="3483"/>
        <w:gridCol w:w="3493"/>
        <w:gridCol w:w="3483"/>
      </w:tblGrid>
      <w:tr w:rsidR="00967BA5" w14:paraId="1C93439B" w14:textId="77777777" w:rsidTr="00823101">
        <w:trPr>
          <w:cantSplit/>
          <w:tblHeader/>
        </w:trPr>
        <w:tc>
          <w:tcPr>
            <w:tcW w:w="3697" w:type="dxa"/>
            <w:shd w:val="clear" w:color="auto" w:fill="FAF9F9" w:themeFill="background2" w:themeFillTint="33"/>
          </w:tcPr>
          <w:p w14:paraId="4A78B44B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Princípio 1</w:t>
            </w:r>
          </w:p>
        </w:tc>
        <w:tc>
          <w:tcPr>
            <w:tcW w:w="3697" w:type="dxa"/>
            <w:shd w:val="clear" w:color="auto" w:fill="FAF9F9" w:themeFill="background2" w:themeFillTint="33"/>
          </w:tcPr>
          <w:p w14:paraId="13A96F79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Princípio 2</w:t>
            </w:r>
          </w:p>
        </w:tc>
        <w:tc>
          <w:tcPr>
            <w:tcW w:w="3697" w:type="dxa"/>
            <w:shd w:val="clear" w:color="auto" w:fill="FAF9F9" w:themeFill="background2" w:themeFillTint="33"/>
          </w:tcPr>
          <w:p w14:paraId="662640B5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Princípio 3</w:t>
            </w:r>
          </w:p>
        </w:tc>
        <w:tc>
          <w:tcPr>
            <w:tcW w:w="3697" w:type="dxa"/>
            <w:shd w:val="clear" w:color="auto" w:fill="FAF9F9" w:themeFill="background2" w:themeFillTint="33"/>
          </w:tcPr>
          <w:p w14:paraId="648D5218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Princípio 4</w:t>
            </w:r>
          </w:p>
        </w:tc>
      </w:tr>
      <w:tr w:rsidR="00967BA5" w14:paraId="7FE85A56" w14:textId="77777777" w:rsidTr="00823101">
        <w:trPr>
          <w:cantSplit/>
        </w:trPr>
        <w:tc>
          <w:tcPr>
            <w:tcW w:w="3697" w:type="dxa"/>
          </w:tcPr>
          <w:p w14:paraId="58953F77" w14:textId="523E8EFB" w:rsidR="004C5E44" w:rsidRPr="00C94675" w:rsidRDefault="00622FBB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>
              <w:rPr>
                <w:rFonts w:asciiTheme="minorHAnsi" w:hAnsiTheme="minorHAnsi"/>
                <w:color w:val="44546A" w:themeColor="text2"/>
              </w:rPr>
              <w:t>Aumentar a segurança, dignidade e direitos das pessoas e evitar expô-las a maiores danos</w:t>
            </w:r>
          </w:p>
        </w:tc>
        <w:tc>
          <w:tcPr>
            <w:tcW w:w="3697" w:type="dxa"/>
          </w:tcPr>
          <w:p w14:paraId="70B08DDF" w14:textId="6696A57B" w:rsidR="004C5E44" w:rsidRPr="00C94675" w:rsidRDefault="00622FBB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>
              <w:rPr>
                <w:rFonts w:asciiTheme="minorHAnsi" w:hAnsiTheme="minorHAnsi"/>
                <w:color w:val="44546A" w:themeColor="text2"/>
              </w:rPr>
              <w:t>Assegurar o acesso das pessoas a ajuda imparcial, de acordo com as necessidades e sem discriminação</w:t>
            </w:r>
          </w:p>
        </w:tc>
        <w:tc>
          <w:tcPr>
            <w:tcW w:w="3697" w:type="dxa"/>
          </w:tcPr>
          <w:p w14:paraId="403F9574" w14:textId="6A260E3B" w:rsidR="004C5E44" w:rsidRPr="00C94675" w:rsidRDefault="00622FBB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>
              <w:rPr>
                <w:rFonts w:asciiTheme="minorHAnsi" w:hAnsiTheme="minorHAnsi"/>
                <w:color w:val="44546A" w:themeColor="text2"/>
              </w:rPr>
              <w:t>Ajudar as pessoas a recuperar dos efeitos físicos e psicológicos de violência</w:t>
            </w:r>
            <w:r w:rsidR="00967BA5">
              <w:rPr>
                <w:rFonts w:asciiTheme="minorHAnsi" w:hAnsiTheme="minorHAnsi"/>
                <w:color w:val="44546A" w:themeColor="text2"/>
              </w:rPr>
              <w:t xml:space="preserve"> real ou ameaça de violência</w:t>
            </w:r>
            <w:r>
              <w:rPr>
                <w:rFonts w:asciiTheme="minorHAnsi" w:hAnsiTheme="minorHAnsi"/>
                <w:color w:val="44546A" w:themeColor="text2"/>
              </w:rPr>
              <w:t>, coerção ou privação intencional</w:t>
            </w:r>
          </w:p>
        </w:tc>
        <w:tc>
          <w:tcPr>
            <w:tcW w:w="3697" w:type="dxa"/>
          </w:tcPr>
          <w:p w14:paraId="62555D47" w14:textId="27E95E21" w:rsidR="004C5E44" w:rsidRPr="00C94675" w:rsidRDefault="00622FBB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>
              <w:rPr>
                <w:rFonts w:asciiTheme="minorHAnsi" w:hAnsiTheme="minorHAnsi"/>
                <w:color w:val="44546A" w:themeColor="text2"/>
              </w:rPr>
              <w:t>Ajudar as pessoas a reivindicar os seus direitos</w:t>
            </w:r>
          </w:p>
        </w:tc>
      </w:tr>
      <w:tr w:rsidR="00967BA5" w14:paraId="63BB5DA7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0FDE8484" w14:textId="049386F2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Consultar diferentes segmentos da população afetada para avaliar as consequências positivas e </w:t>
            </w:r>
            <w:r w:rsidR="00180C22">
              <w:rPr>
                <w:rFonts w:asciiTheme="minorHAnsi" w:hAnsiTheme="minorHAnsi"/>
              </w:rPr>
              <w:t xml:space="preserve">as </w:t>
            </w:r>
            <w:r>
              <w:rPr>
                <w:rFonts w:asciiTheme="minorHAnsi" w:hAnsiTheme="minorHAnsi"/>
              </w:rPr>
              <w:t>possíveis consequências negativas da resposta global</w:t>
            </w:r>
          </w:p>
        </w:tc>
        <w:tc>
          <w:tcPr>
            <w:tcW w:w="3697" w:type="dxa"/>
            <w:shd w:val="clear" w:color="auto" w:fill="FAFFEE"/>
          </w:tcPr>
          <w:p w14:paraId="668E6563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Assegurar que o vosso programa protege os direitos das pessoas marginalizadas</w:t>
            </w:r>
          </w:p>
        </w:tc>
        <w:tc>
          <w:tcPr>
            <w:tcW w:w="3697" w:type="dxa"/>
            <w:shd w:val="clear" w:color="auto" w:fill="FAFFEE"/>
          </w:tcPr>
          <w:p w14:paraId="7FD471F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Adotar medidas para reduzir o risco de violência baseada no género</w:t>
            </w:r>
          </w:p>
        </w:tc>
        <w:tc>
          <w:tcPr>
            <w:tcW w:w="3697" w:type="dxa"/>
            <w:shd w:val="clear" w:color="auto" w:fill="FAFFEE"/>
          </w:tcPr>
          <w:p w14:paraId="1424D2E5" w14:textId="0857B918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Trabalhar com as autoridades competentes para </w:t>
            </w:r>
            <w:r w:rsidR="00967BA5">
              <w:rPr>
                <w:rFonts w:asciiTheme="minorHAnsi" w:hAnsiTheme="minorHAnsi"/>
              </w:rPr>
              <w:t xml:space="preserve">recuperar </w:t>
            </w:r>
            <w:r>
              <w:rPr>
                <w:rFonts w:asciiTheme="minorHAnsi" w:hAnsiTheme="minorHAnsi"/>
              </w:rPr>
              <w:t>documentação perdida</w:t>
            </w:r>
          </w:p>
        </w:tc>
      </w:tr>
      <w:tr w:rsidR="00967BA5" w14:paraId="32A7A29A" w14:textId="77777777" w:rsidTr="00823101">
        <w:trPr>
          <w:cantSplit/>
        </w:trPr>
        <w:tc>
          <w:tcPr>
            <w:tcW w:w="3697" w:type="dxa"/>
            <w:shd w:val="clear" w:color="auto" w:fill="auto"/>
          </w:tcPr>
          <w:p w14:paraId="2604ADEE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Assegurar que as pessoas não têm de atravessar zonas perigosas para aceder à ajuda</w:t>
            </w:r>
          </w:p>
        </w:tc>
        <w:tc>
          <w:tcPr>
            <w:tcW w:w="3697" w:type="dxa"/>
            <w:shd w:val="clear" w:color="auto" w:fill="auto"/>
          </w:tcPr>
          <w:p w14:paraId="1C914A4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Acompanhar o acesso da população afetada à ajuda humanitária</w:t>
            </w:r>
          </w:p>
        </w:tc>
        <w:tc>
          <w:tcPr>
            <w:tcW w:w="3697" w:type="dxa"/>
            <w:shd w:val="clear" w:color="auto" w:fill="auto"/>
          </w:tcPr>
          <w:p w14:paraId="0CDB057F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Prever a defesa dos direitos das populações afetadas junto das autoridades e intervenientes pertinentes, recordando-lhes as suas obrigações</w:t>
            </w:r>
          </w:p>
        </w:tc>
        <w:tc>
          <w:tcPr>
            <w:tcW w:w="3697" w:type="dxa"/>
            <w:shd w:val="clear" w:color="auto" w:fill="auto"/>
          </w:tcPr>
          <w:p w14:paraId="496E971A" w14:textId="0E57DEF7" w:rsidR="004C5E44" w:rsidRPr="00C94675" w:rsidRDefault="00925110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Assegurar que as pessoas afetadas conhe</w:t>
            </w:r>
            <w:r w:rsidR="00967BA5">
              <w:rPr>
                <w:rFonts w:asciiTheme="minorHAnsi" w:hAnsiTheme="minorHAnsi"/>
              </w:rPr>
              <w:t>çam</w:t>
            </w:r>
            <w:r>
              <w:rPr>
                <w:rFonts w:asciiTheme="minorHAnsi" w:hAnsiTheme="minorHAnsi"/>
              </w:rPr>
              <w:t xml:space="preserve"> os seus direitos ao abrigo de um determinado programa</w:t>
            </w:r>
          </w:p>
        </w:tc>
      </w:tr>
      <w:tr w:rsidR="00967BA5" w14:paraId="22C86934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6415C5D6" w14:textId="5ECF417E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Adaptar as formas </w:t>
            </w:r>
            <w:r w:rsidR="00180C22">
              <w:rPr>
                <w:rFonts w:asciiTheme="minorHAnsi" w:hAnsiTheme="minorHAnsi"/>
              </w:rPr>
              <w:t xml:space="preserve">sob as quais </w:t>
            </w:r>
            <w:r>
              <w:rPr>
                <w:rFonts w:asciiTheme="minorHAnsi" w:hAnsiTheme="minorHAnsi"/>
              </w:rPr>
              <w:t>a ajuda é prestada para diminuir o risco de pilhagem e consequente violência</w:t>
            </w:r>
          </w:p>
        </w:tc>
        <w:tc>
          <w:tcPr>
            <w:tcW w:w="3697" w:type="dxa"/>
            <w:shd w:val="clear" w:color="auto" w:fill="FAFFEE"/>
          </w:tcPr>
          <w:p w14:paraId="32537F0E" w14:textId="4A33FA76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Promover o cumprimento das leis pertinentes se a ajuda for negada à população afetada</w:t>
            </w:r>
          </w:p>
        </w:tc>
        <w:tc>
          <w:tcPr>
            <w:tcW w:w="3697" w:type="dxa"/>
            <w:shd w:val="clear" w:color="auto" w:fill="FAFFEE"/>
          </w:tcPr>
          <w:p w14:paraId="483E0D88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Coordenar com as autoridades governamentais e agências especializadas pertinentes a remoção de minas terrestres e engenhos explosivos não detonados</w:t>
            </w:r>
          </w:p>
        </w:tc>
        <w:tc>
          <w:tcPr>
            <w:tcW w:w="3697" w:type="dxa"/>
            <w:shd w:val="clear" w:color="auto" w:fill="FAFFEE"/>
          </w:tcPr>
          <w:p w14:paraId="0F9A0542" w14:textId="5AC87FCA" w:rsidR="004C5E44" w:rsidRPr="00C94675" w:rsidRDefault="00925110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Comunicar com a população afetada numa língua e de uma forma que esta possa compreender</w:t>
            </w:r>
          </w:p>
        </w:tc>
      </w:tr>
      <w:tr w:rsidR="00967BA5" w14:paraId="72B6DF59" w14:textId="77777777" w:rsidTr="00823101">
        <w:trPr>
          <w:cantSplit/>
        </w:trPr>
        <w:tc>
          <w:tcPr>
            <w:tcW w:w="3697" w:type="dxa"/>
            <w:shd w:val="clear" w:color="auto" w:fill="auto"/>
          </w:tcPr>
          <w:p w14:paraId="7D78BA84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Construir campos de refugiados e deslocados longe das zonas de conflito</w:t>
            </w:r>
          </w:p>
        </w:tc>
        <w:tc>
          <w:tcPr>
            <w:tcW w:w="3697" w:type="dxa"/>
            <w:shd w:val="clear" w:color="auto" w:fill="auto"/>
          </w:tcPr>
          <w:p w14:paraId="1B9856DC" w14:textId="57D136A5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Construir espaços seguros para as pessoas sobreviventes de abusos</w:t>
            </w:r>
            <w:r w:rsidR="00DE7C93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como violação ou </w:t>
            </w:r>
            <w:r w:rsidR="00DE7C93">
              <w:rPr>
                <w:rFonts w:asciiTheme="minorHAnsi" w:hAnsiTheme="minorHAnsi"/>
              </w:rPr>
              <w:t>t</w:t>
            </w:r>
            <w:r>
              <w:rPr>
                <w:rFonts w:asciiTheme="minorHAnsi" w:hAnsiTheme="minorHAnsi"/>
              </w:rPr>
              <w:t>ráfico</w:t>
            </w:r>
            <w:r w:rsidR="00DE7C93">
              <w:rPr>
                <w:rFonts w:asciiTheme="minorHAnsi" w:hAnsiTheme="minorHAnsi"/>
              </w:rPr>
              <w:t xml:space="preserve"> humano</w:t>
            </w:r>
            <w:r>
              <w:rPr>
                <w:rFonts w:asciiTheme="minorHAnsi" w:hAnsiTheme="minorHAnsi"/>
              </w:rPr>
              <w:t>, evitando ao mesmo tempo a estigmatização</w:t>
            </w:r>
          </w:p>
        </w:tc>
        <w:tc>
          <w:tcPr>
            <w:tcW w:w="3697" w:type="dxa"/>
            <w:shd w:val="clear" w:color="auto" w:fill="auto"/>
          </w:tcPr>
          <w:p w14:paraId="3E4907F8" w14:textId="7040229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Acompanhar as instituições protegidas ao abrigo do direito humanitário internacional, tais como escolas e hospitais, e denunciar os ataques cometidos contra as mesmas</w:t>
            </w:r>
          </w:p>
        </w:tc>
        <w:tc>
          <w:tcPr>
            <w:tcW w:w="3697" w:type="dxa"/>
            <w:shd w:val="clear" w:color="auto" w:fill="auto"/>
          </w:tcPr>
          <w:p w14:paraId="12C38AF7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Assegurar que a documentação oficial emitida pelas autoridades não determina quem é elegível para receber ajuda por parte das organizações humanitárias</w:t>
            </w:r>
          </w:p>
        </w:tc>
      </w:tr>
      <w:tr w:rsidR="00967BA5" w14:paraId="0E33CF71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6CA34D52" w14:textId="1DBCD55D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Assegurar que as atividades não agrav</w:t>
            </w:r>
            <w:r w:rsidR="00180C22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>m as divisões existentes na comunidade</w:t>
            </w:r>
          </w:p>
        </w:tc>
        <w:tc>
          <w:tcPr>
            <w:tcW w:w="3697" w:type="dxa"/>
            <w:shd w:val="clear" w:color="auto" w:fill="FAFFEE"/>
          </w:tcPr>
          <w:p w14:paraId="4FDA2385" w14:textId="73DDC54E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Assegurar que as pessoas afetadas não precis</w:t>
            </w:r>
            <w:r w:rsidR="00DE7C93">
              <w:rPr>
                <w:rFonts w:asciiTheme="minorHAnsi" w:hAnsiTheme="minorHAnsi"/>
              </w:rPr>
              <w:t>em</w:t>
            </w:r>
            <w:r>
              <w:rPr>
                <w:rFonts w:asciiTheme="minorHAnsi" w:hAnsiTheme="minorHAnsi"/>
              </w:rPr>
              <w:t xml:space="preserve"> de ter um estatuto jurídico especial para receberem ajuda humanitária e serem protegidas</w:t>
            </w:r>
          </w:p>
        </w:tc>
        <w:tc>
          <w:tcPr>
            <w:tcW w:w="3697" w:type="dxa"/>
            <w:shd w:val="clear" w:color="auto" w:fill="FAFFEE"/>
          </w:tcPr>
          <w:p w14:paraId="7E91925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Alertar os intervenientes políticos, policiais e militares pertinentes para as violações em curso, de modo a que as forças militares possam pôr termo às violações reais</w:t>
            </w:r>
          </w:p>
        </w:tc>
        <w:tc>
          <w:tcPr>
            <w:tcW w:w="3697" w:type="dxa"/>
            <w:shd w:val="clear" w:color="auto" w:fill="FAFFEE"/>
          </w:tcPr>
          <w:p w14:paraId="31A7D219" w14:textId="30D3F513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Encaminhar as pessoas que procuram justiça e indemnização por perda de propriedade para as agências </w:t>
            </w:r>
            <w:r w:rsidR="00967BA5">
              <w:rPr>
                <w:rFonts w:asciiTheme="minorHAnsi" w:hAnsiTheme="minorHAnsi"/>
              </w:rPr>
              <w:t xml:space="preserve">que podem </w:t>
            </w:r>
            <w:r>
              <w:rPr>
                <w:rFonts w:asciiTheme="minorHAnsi" w:hAnsiTheme="minorHAnsi"/>
              </w:rPr>
              <w:t>presta</w:t>
            </w:r>
            <w:r w:rsidR="00967BA5">
              <w:rPr>
                <w:rFonts w:asciiTheme="minorHAnsi" w:hAnsiTheme="minorHAnsi"/>
              </w:rPr>
              <w:t>r</w:t>
            </w:r>
            <w:r>
              <w:rPr>
                <w:rFonts w:asciiTheme="minorHAnsi" w:hAnsiTheme="minorHAnsi"/>
              </w:rPr>
              <w:t xml:space="preserve"> </w:t>
            </w:r>
            <w:r w:rsidR="00967BA5">
              <w:rPr>
                <w:rFonts w:asciiTheme="minorHAnsi" w:hAnsiTheme="minorHAnsi"/>
              </w:rPr>
              <w:t>e</w:t>
            </w:r>
            <w:r>
              <w:rPr>
                <w:rFonts w:asciiTheme="minorHAnsi" w:hAnsiTheme="minorHAnsi"/>
              </w:rPr>
              <w:t>sse apoio</w:t>
            </w:r>
          </w:p>
        </w:tc>
      </w:tr>
      <w:tr w:rsidR="00967BA5" w14:paraId="2CDCCFB5" w14:textId="77777777" w:rsidTr="00823101">
        <w:trPr>
          <w:cantSplit/>
        </w:trPr>
        <w:tc>
          <w:tcPr>
            <w:tcW w:w="3697" w:type="dxa"/>
          </w:tcPr>
          <w:p w14:paraId="74A9EB07" w14:textId="44B90311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lastRenderedPageBreak/>
              <w:t>Informar o vosso pessoal sobre a comunicação adequada de alegações e incidentes testemunhad</w:t>
            </w:r>
            <w:r w:rsidR="00DE7C93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>s</w:t>
            </w:r>
          </w:p>
        </w:tc>
        <w:tc>
          <w:tcPr>
            <w:tcW w:w="3697" w:type="dxa"/>
          </w:tcPr>
          <w:p w14:paraId="35AA6899" w14:textId="0E9E7C0E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Assegurar que a ajuda prestada se baseia apenas na necessidade e é proporcional à </w:t>
            </w:r>
            <w:r w:rsidR="00DE7C93">
              <w:rPr>
                <w:rFonts w:asciiTheme="minorHAnsi" w:hAnsiTheme="minorHAnsi"/>
              </w:rPr>
              <w:t>mesma</w:t>
            </w:r>
          </w:p>
        </w:tc>
        <w:tc>
          <w:tcPr>
            <w:tcW w:w="3697" w:type="dxa"/>
          </w:tcPr>
          <w:p w14:paraId="657B9590" w14:textId="5B09CC43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Assegurar que as pessoas não são forçadas a </w:t>
            </w:r>
            <w:r w:rsidR="00967BA5">
              <w:rPr>
                <w:rFonts w:asciiTheme="minorHAnsi" w:hAnsiTheme="minorHAnsi"/>
              </w:rPr>
              <w:t xml:space="preserve">permanecer </w:t>
            </w:r>
            <w:r>
              <w:rPr>
                <w:rFonts w:asciiTheme="minorHAnsi" w:hAnsiTheme="minorHAnsi"/>
              </w:rPr>
              <w:t>ou ir para um l</w:t>
            </w:r>
            <w:r w:rsidR="00180C22">
              <w:rPr>
                <w:rFonts w:asciiTheme="minorHAnsi" w:hAnsiTheme="minorHAnsi"/>
              </w:rPr>
              <w:t>ocal</w:t>
            </w:r>
            <w:r>
              <w:rPr>
                <w:rFonts w:asciiTheme="minorHAnsi" w:hAnsiTheme="minorHAnsi"/>
              </w:rPr>
              <w:t xml:space="preserve"> que não </w:t>
            </w:r>
            <w:r w:rsidR="00180C22">
              <w:rPr>
                <w:rFonts w:asciiTheme="minorHAnsi" w:hAnsiTheme="minorHAnsi"/>
              </w:rPr>
              <w:t xml:space="preserve">seja </w:t>
            </w:r>
            <w:r>
              <w:rPr>
                <w:rFonts w:asciiTheme="minorHAnsi" w:hAnsiTheme="minorHAnsi"/>
              </w:rPr>
              <w:t>da sua escolha, tal como um campo</w:t>
            </w:r>
          </w:p>
        </w:tc>
        <w:tc>
          <w:tcPr>
            <w:tcW w:w="3697" w:type="dxa"/>
          </w:tcPr>
          <w:p w14:paraId="5125A94D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Na sequência de ataques, violência baseada no género e problemas conexos, apoiar o acesso das pessoas a cuidados de saúde adequados e reabilitação</w:t>
            </w:r>
          </w:p>
        </w:tc>
      </w:tr>
      <w:tr w:rsidR="00967BA5" w14:paraId="5B5AA8F5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2E191956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Planear a distribuição da ajuda de forma a minimizar o roubo</w:t>
            </w:r>
          </w:p>
        </w:tc>
        <w:tc>
          <w:tcPr>
            <w:tcW w:w="3697" w:type="dxa"/>
            <w:shd w:val="clear" w:color="auto" w:fill="FAFFEE"/>
          </w:tcPr>
          <w:p w14:paraId="13EDD621" w14:textId="290E2513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Ao prestar ajuda a um determinado grupo, como pessoas deslocadas </w:t>
            </w:r>
            <w:r w:rsidR="00DE7C93">
              <w:rPr>
                <w:rFonts w:asciiTheme="minorHAnsi" w:hAnsiTheme="minorHAnsi"/>
              </w:rPr>
              <w:t>em</w:t>
            </w:r>
            <w:r>
              <w:rPr>
                <w:rFonts w:asciiTheme="minorHAnsi" w:hAnsiTheme="minorHAnsi"/>
              </w:rPr>
              <w:t xml:space="preserve"> campos, assegurar que este enfoque não seja em detrimento de outr</w:t>
            </w:r>
            <w:r w:rsidR="00DE7C93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 se</w:t>
            </w:r>
            <w:r w:rsidR="00DE7C93">
              <w:rPr>
                <w:rFonts w:asciiTheme="minorHAnsi" w:hAnsiTheme="minorHAnsi"/>
              </w:rPr>
              <w:t xml:space="preserve">gmento </w:t>
            </w:r>
            <w:r>
              <w:rPr>
                <w:rFonts w:asciiTheme="minorHAnsi" w:hAnsiTheme="minorHAnsi"/>
              </w:rPr>
              <w:t>da população afetada</w:t>
            </w:r>
          </w:p>
        </w:tc>
        <w:tc>
          <w:tcPr>
            <w:tcW w:w="3697" w:type="dxa"/>
            <w:shd w:val="clear" w:color="auto" w:fill="FAFFEE"/>
          </w:tcPr>
          <w:p w14:paraId="263C7A52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Prestar apoio às famílias e comunidades nos seus esforços para manter as crianças seguras</w:t>
            </w:r>
          </w:p>
        </w:tc>
        <w:tc>
          <w:tcPr>
            <w:tcW w:w="3697" w:type="dxa"/>
            <w:shd w:val="clear" w:color="auto" w:fill="FAFFEE"/>
          </w:tcPr>
          <w:p w14:paraId="792D5674" w14:textId="21EDFFA8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Apoiar os mecanismos comunitários positivos de sobrevivência</w:t>
            </w:r>
            <w:r w:rsidR="00180C22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tais como </w:t>
            </w:r>
            <w:r w:rsidR="00967BA5">
              <w:rPr>
                <w:rFonts w:asciiTheme="minorHAnsi" w:hAnsiTheme="minorHAnsi"/>
              </w:rPr>
              <w:t>funerais</w:t>
            </w:r>
            <w:r>
              <w:rPr>
                <w:rFonts w:asciiTheme="minorHAnsi" w:hAnsiTheme="minorHAnsi"/>
              </w:rPr>
              <w:t>, cerimónias e práticas religiosas, bem como práticas culturais e sociais não prejudiciais</w:t>
            </w:r>
          </w:p>
        </w:tc>
      </w:tr>
      <w:tr w:rsidR="00967BA5" w14:paraId="6504C373" w14:textId="77777777" w:rsidTr="00823101">
        <w:trPr>
          <w:cantSplit/>
        </w:trPr>
        <w:tc>
          <w:tcPr>
            <w:tcW w:w="3697" w:type="dxa"/>
          </w:tcPr>
          <w:p w14:paraId="4010B2EB" w14:textId="5602FC7B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Recolher informações sobre violação de direitos e abusos específicos apenas se a sua utilização prevista for clara e apenas se a vossa agência tiver um mandato de proteção ou a capacidade, competências, sistemas e protocolos necessários</w:t>
            </w:r>
            <w:r w:rsidR="00DE7C93">
              <w:rPr>
                <w:rFonts w:asciiTheme="minorHAnsi" w:hAnsiTheme="minorHAnsi"/>
              </w:rPr>
              <w:t xml:space="preserve"> in loco.</w:t>
            </w:r>
          </w:p>
        </w:tc>
        <w:tc>
          <w:tcPr>
            <w:tcW w:w="3697" w:type="dxa"/>
          </w:tcPr>
          <w:p w14:paraId="5BACBB22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0C93F86C" w14:textId="14C0C56F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Criar normas e instrumentos que previnam e acabem com a exploração e o abuso sexual</w:t>
            </w:r>
          </w:p>
        </w:tc>
        <w:tc>
          <w:tcPr>
            <w:tcW w:w="3697" w:type="dxa"/>
          </w:tcPr>
          <w:p w14:paraId="23ADFE62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</w:tr>
      <w:tr w:rsidR="00967BA5" w14:paraId="5E7DA3E2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02CB086B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  <w:shd w:val="clear" w:color="auto" w:fill="FAFFEE"/>
          </w:tcPr>
          <w:p w14:paraId="420EAB17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  <w:shd w:val="clear" w:color="auto" w:fill="FAFFEE"/>
          </w:tcPr>
          <w:p w14:paraId="47C6705E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Ensinar as pessoas a impedir que as crianças se separem das suas famílias</w:t>
            </w:r>
          </w:p>
        </w:tc>
        <w:tc>
          <w:tcPr>
            <w:tcW w:w="3697" w:type="dxa"/>
            <w:shd w:val="clear" w:color="auto" w:fill="FAFFEE"/>
          </w:tcPr>
          <w:p w14:paraId="22D19CEB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</w:tr>
    </w:tbl>
    <w:p w14:paraId="0E0DB637" w14:textId="77777777" w:rsidR="004C5E44" w:rsidRDefault="004C5E44"/>
    <w:sectPr w:rsidR="004C5E44" w:rsidSect="004C5E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E6AEE" w14:textId="77777777" w:rsidR="004B3E8A" w:rsidRDefault="004B3E8A" w:rsidP="00C94675">
      <w:pPr>
        <w:spacing w:before="0" w:line="240" w:lineRule="auto"/>
      </w:pPr>
      <w:r>
        <w:separator/>
      </w:r>
    </w:p>
  </w:endnote>
  <w:endnote w:type="continuationSeparator" w:id="0">
    <w:p w14:paraId="334AC4AD" w14:textId="77777777" w:rsidR="004B3E8A" w:rsidRDefault="004B3E8A" w:rsidP="00C9467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29A1B" w14:textId="77777777" w:rsidR="006E1D8E" w:rsidRDefault="006E1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B85C" w14:textId="77777777" w:rsidR="006E1D8E" w:rsidRDefault="006E1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2A15" w14:textId="77777777" w:rsidR="006E1D8E" w:rsidRDefault="006E1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A8B7" w14:textId="77777777" w:rsidR="004B3E8A" w:rsidRDefault="004B3E8A" w:rsidP="00C94675">
      <w:pPr>
        <w:spacing w:before="0" w:line="240" w:lineRule="auto"/>
      </w:pPr>
      <w:r>
        <w:separator/>
      </w:r>
    </w:p>
  </w:footnote>
  <w:footnote w:type="continuationSeparator" w:id="0">
    <w:p w14:paraId="76E723CE" w14:textId="77777777" w:rsidR="004B3E8A" w:rsidRDefault="004B3E8A" w:rsidP="00C9467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027E9" w14:textId="77777777" w:rsidR="006E1D8E" w:rsidRDefault="006E1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BC89" w14:textId="0E26E299" w:rsidR="00C94675" w:rsidRPr="00C94675" w:rsidRDefault="00C94675" w:rsidP="00C94675">
    <w:pPr>
      <w:pStyle w:val="Header"/>
      <w:pBdr>
        <w:bottom w:val="single" w:sz="4" w:space="1" w:color="auto"/>
      </w:pBdr>
      <w:jc w:val="right"/>
      <w:rPr>
        <w:rFonts w:asciiTheme="minorHAnsi" w:hAnsiTheme="minorHAnsi" w:cstheme="minorHAnsi"/>
        <w:bCs w:val="0"/>
        <w:szCs w:val="22"/>
      </w:rPr>
    </w:pPr>
    <w:r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157DBD45" wp14:editId="0A389382">
          <wp:simplePos x="0" y="0"/>
          <wp:positionH relativeFrom="column">
            <wp:posOffset>51435</wp:posOffset>
          </wp:positionH>
          <wp:positionV relativeFrom="paragraph">
            <wp:posOffset>-29210</wp:posOffset>
          </wp:positionV>
          <wp:extent cx="856615" cy="389890"/>
          <wp:effectExtent l="0" t="0" r="635" b="0"/>
          <wp:wrapSquare wrapText="bothSides"/>
          <wp:docPr id="1" name="Picture 1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Sphere Handbook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9" b="26537"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</w:rPr>
      <w:t>Pacote de Formação Esfera 2018 – Sessão 5 – Princípios de Proteção</w:t>
    </w:r>
  </w:p>
  <w:p w14:paraId="38A87C42" w14:textId="77777777" w:rsidR="00C94675" w:rsidRDefault="00C946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AC2E" w14:textId="77777777" w:rsidR="006E1D8E" w:rsidRDefault="006E1D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E44"/>
    <w:rsid w:val="0008169F"/>
    <w:rsid w:val="00180C22"/>
    <w:rsid w:val="00237086"/>
    <w:rsid w:val="00496DB1"/>
    <w:rsid w:val="004B3E8A"/>
    <w:rsid w:val="004C5E44"/>
    <w:rsid w:val="00622FBB"/>
    <w:rsid w:val="006319A2"/>
    <w:rsid w:val="006E1D8E"/>
    <w:rsid w:val="006E368B"/>
    <w:rsid w:val="00842056"/>
    <w:rsid w:val="008735B4"/>
    <w:rsid w:val="00925110"/>
    <w:rsid w:val="00967BA5"/>
    <w:rsid w:val="00991F1A"/>
    <w:rsid w:val="00AD318D"/>
    <w:rsid w:val="00C94675"/>
    <w:rsid w:val="00DE7C93"/>
    <w:rsid w:val="00F4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03D14"/>
  <w15:chartTrackingRefBased/>
  <w15:docId w15:val="{073A6C8F-1A4E-49FA-9B97-0E3A40FB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"/>
    <w:qFormat/>
    <w:rsid w:val="004C5E44"/>
    <w:pPr>
      <w:spacing w:before="80" w:after="0" w:line="240" w:lineRule="atLeast"/>
    </w:pPr>
    <w:rPr>
      <w:rFonts w:ascii="Times New Roman" w:eastAsia="Times New Roman" w:hAnsi="Times New Roman" w:cs="Times New Roman"/>
      <w:bCs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aliases w:val="t"/>
    <w:basedOn w:val="Normal"/>
    <w:qFormat/>
    <w:rsid w:val="004C5E44"/>
    <w:pPr>
      <w:spacing w:after="80"/>
    </w:pPr>
  </w:style>
  <w:style w:type="paragraph" w:customStyle="1" w:styleId="tableheading">
    <w:name w:val="table heading"/>
    <w:aliases w:val="th"/>
    <w:basedOn w:val="table"/>
    <w:qFormat/>
    <w:rsid w:val="004C5E44"/>
    <w:pPr>
      <w:keepNext/>
    </w:pPr>
    <w:rPr>
      <w:rFonts w:ascii="Tahoma" w:hAnsi="Tahoma"/>
      <w:b/>
      <w:color w:val="44546A" w:themeColor="text2"/>
      <w:sz w:val="20"/>
      <w:szCs w:val="22"/>
    </w:rPr>
  </w:style>
  <w:style w:type="paragraph" w:customStyle="1" w:styleId="bigtable">
    <w:name w:val="big table"/>
    <w:basedOn w:val="table"/>
    <w:qFormat/>
    <w:rsid w:val="004C5E44"/>
    <w:pPr>
      <w:spacing w:before="40" w:after="40" w:line="280" w:lineRule="atLeast"/>
      <w:jc w:val="center"/>
    </w:pPr>
    <w:rPr>
      <w:rFonts w:ascii="Tahoma" w:hAnsi="Tahom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C9467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675"/>
    <w:rPr>
      <w:rFonts w:ascii="Times New Roman" w:eastAsia="Times New Roman" w:hAnsi="Times New Roman" w:cs="Times New Roman"/>
      <w:bCs/>
      <w:szCs w:val="24"/>
      <w:lang w:val="pt-PT" w:eastAsia="es-ES"/>
    </w:rPr>
  </w:style>
  <w:style w:type="paragraph" w:styleId="Footer">
    <w:name w:val="footer"/>
    <w:basedOn w:val="Normal"/>
    <w:link w:val="FooterChar"/>
    <w:uiPriority w:val="99"/>
    <w:unhideWhenUsed/>
    <w:rsid w:val="00C9467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675"/>
    <w:rPr>
      <w:rFonts w:ascii="Times New Roman" w:eastAsia="Times New Roman" w:hAnsi="Times New Roman" w:cs="Times New Roman"/>
      <w:bCs/>
      <w:szCs w:val="24"/>
      <w:lang w:val="pt-PT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415A8-5AB7-4C41-9E16-C7BD426FBD0C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8B007E7A-B7AF-4D36-9A31-8815FAA12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25A0AE-E968-4740-B732-35B7414B47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627</Words>
  <Characters>3383</Characters>
  <Application>Microsoft Office Word</Application>
  <DocSecurity>0</DocSecurity>
  <Lines>82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5 Protection Actions Answer Sheet</dc:title>
  <dc:subject>tradução de en-pt</dc:subject>
  <dc:creator>Jim Good;Luísa Merki</dc:creator>
  <cp:keywords>2021107</cp:keywords>
  <dc:description/>
  <cp:lastModifiedBy>Luisa</cp:lastModifiedBy>
  <cp:revision>11</cp:revision>
  <dcterms:created xsi:type="dcterms:W3CDTF">2019-04-17T12:36:00Z</dcterms:created>
  <dcterms:modified xsi:type="dcterms:W3CDTF">2021-07-08T10:33:00Z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6895400</vt:r8>
  </property>
</Properties>
</file>